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7465C" w14:textId="77777777" w:rsidR="00B15C3B" w:rsidRPr="00B15C3B" w:rsidRDefault="00B15C3B" w:rsidP="00B15C3B">
      <w:pPr>
        <w:keepNext/>
        <w:keepLines/>
        <w:numPr>
          <w:ilvl w:val="2"/>
          <w:numId w:val="1"/>
        </w:numPr>
        <w:spacing w:before="60" w:after="60" w:line="240" w:lineRule="auto"/>
        <w:ind w:left="357" w:right="196" w:hanging="357"/>
        <w:jc w:val="both"/>
        <w:outlineLvl w:val="2"/>
        <w:rPr>
          <w:rFonts w:ascii="Calibri" w:eastAsia="Times New Roman" w:hAnsi="Calibri" w:cs="Calibri"/>
          <w:b/>
          <w:bCs/>
          <w:color w:val="0070C0"/>
          <w:kern w:val="0"/>
          <w14:ligatures w14:val="none"/>
        </w:rPr>
      </w:pPr>
      <w:bookmarkStart w:id="0" w:name="_Toc84001478"/>
      <w:bookmarkStart w:id="1" w:name="_Toc193882311"/>
      <w:r w:rsidRPr="00B15C3B">
        <w:rPr>
          <w:rFonts w:ascii="Calibri" w:eastAsia="Times New Roman" w:hAnsi="Calibri" w:cs="Calibri"/>
          <w:b/>
          <w:bCs/>
          <w:color w:val="0070C0"/>
          <w:kern w:val="0"/>
          <w14:ligatures w14:val="none"/>
        </w:rPr>
        <w:t>RCO26 – Πράσινες υποδομές που κατασκευάστηκαν ή αναβαθμίστηκαν για την προσαρμογή στην κλιματική αλλαγή</w:t>
      </w:r>
      <w:bookmarkEnd w:id="0"/>
      <w:bookmarkEnd w:id="1"/>
    </w:p>
    <w:tbl>
      <w:tblPr>
        <w:tblStyle w:val="1-12"/>
        <w:tblW w:w="9923" w:type="dxa"/>
        <w:tblInd w:w="-998" w:type="dxa"/>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ayout w:type="fixed"/>
        <w:tblLook w:val="04A0" w:firstRow="1" w:lastRow="0" w:firstColumn="1" w:lastColumn="0" w:noHBand="0" w:noVBand="1"/>
      </w:tblPr>
      <w:tblGrid>
        <w:gridCol w:w="955"/>
        <w:gridCol w:w="2272"/>
        <w:gridCol w:w="6696"/>
      </w:tblGrid>
      <w:tr w:rsidR="00B15C3B" w:rsidRPr="00B15C3B" w14:paraId="2A31832A" w14:textId="77777777" w:rsidTr="00B15C3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tcBorders>
              <w:bottom w:val="none" w:sz="0" w:space="0" w:color="auto"/>
            </w:tcBorders>
            <w:vAlign w:val="center"/>
            <w:hideMark/>
          </w:tcPr>
          <w:p w14:paraId="3FA33351" w14:textId="77777777" w:rsidR="00B15C3B" w:rsidRPr="00B15C3B" w:rsidRDefault="00B15C3B" w:rsidP="00B15C3B">
            <w:pPr>
              <w:spacing w:before="60" w:after="60"/>
              <w:ind w:left="-57" w:right="-57"/>
              <w:jc w:val="center"/>
              <w:rPr>
                <w:rFonts w:cs="Corbel"/>
                <w:color w:val="000000"/>
                <w:lang w:eastAsia="el-GR"/>
              </w:rPr>
            </w:pPr>
            <w:proofErr w:type="spellStart"/>
            <w:r w:rsidRPr="00B15C3B">
              <w:rPr>
                <w:rFonts w:cs="Calibri"/>
                <w:color w:val="000000"/>
                <w:lang w:eastAsia="el-GR"/>
              </w:rPr>
              <w:t>Αρ</w:t>
            </w:r>
            <w:proofErr w:type="spellEnd"/>
            <w:r w:rsidRPr="00B15C3B">
              <w:rPr>
                <w:rFonts w:cs="Calibri"/>
                <w:color w:val="000000"/>
                <w:lang w:eastAsia="el-GR"/>
              </w:rPr>
              <w:t>. γραμμής</w:t>
            </w:r>
          </w:p>
        </w:tc>
        <w:tc>
          <w:tcPr>
            <w:tcW w:w="1145" w:type="pct"/>
            <w:tcBorders>
              <w:bottom w:val="none" w:sz="0" w:space="0" w:color="auto"/>
            </w:tcBorders>
            <w:vAlign w:val="center"/>
            <w:hideMark/>
          </w:tcPr>
          <w:p w14:paraId="72F47E45" w14:textId="77777777" w:rsidR="00B15C3B" w:rsidRPr="00B15C3B" w:rsidRDefault="00B15C3B" w:rsidP="00B15C3B">
            <w:pPr>
              <w:spacing w:before="60" w:after="60"/>
              <w:jc w:val="both"/>
              <w:cnfStyle w:val="100000000000" w:firstRow="1"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Πεδίο</w:t>
            </w:r>
          </w:p>
        </w:tc>
        <w:tc>
          <w:tcPr>
            <w:tcW w:w="3374" w:type="pct"/>
            <w:tcBorders>
              <w:bottom w:val="none" w:sz="0" w:space="0" w:color="auto"/>
            </w:tcBorders>
            <w:vAlign w:val="center"/>
            <w:hideMark/>
          </w:tcPr>
          <w:p w14:paraId="289D00B9" w14:textId="77777777" w:rsidR="00B15C3B" w:rsidRPr="00B15C3B" w:rsidRDefault="00B15C3B" w:rsidP="00B15C3B">
            <w:pPr>
              <w:spacing w:before="60" w:after="60"/>
              <w:jc w:val="both"/>
              <w:cnfStyle w:val="100000000000" w:firstRow="1" w:lastRow="0" w:firstColumn="0" w:lastColumn="0" w:oddVBand="0" w:evenVBand="0" w:oddHBand="0" w:evenHBand="0" w:firstRowFirstColumn="0" w:firstRowLastColumn="0" w:lastRowFirstColumn="0" w:lastRowLastColumn="0"/>
              <w:rPr>
                <w:rFonts w:cs="Corbel"/>
                <w:color w:val="000000"/>
                <w:lang w:eastAsia="el-GR"/>
              </w:rPr>
            </w:pPr>
            <w:proofErr w:type="spellStart"/>
            <w:r w:rsidRPr="00B15C3B">
              <w:rPr>
                <w:rFonts w:cs="Corbel"/>
                <w:color w:val="000000"/>
                <w:lang w:eastAsia="el-GR"/>
              </w:rPr>
              <w:t>Μεταδεδομένα</w:t>
            </w:r>
            <w:proofErr w:type="spellEnd"/>
            <w:r w:rsidRPr="00B15C3B">
              <w:rPr>
                <w:rFonts w:cs="Corbel"/>
                <w:color w:val="000000"/>
                <w:lang w:eastAsia="el-GR"/>
              </w:rPr>
              <w:t xml:space="preserve"> Δείκτη</w:t>
            </w:r>
          </w:p>
        </w:tc>
      </w:tr>
      <w:tr w:rsidR="00B15C3B" w:rsidRPr="00B15C3B" w14:paraId="0F44D545" w14:textId="77777777" w:rsidTr="00B15C3B">
        <w:tc>
          <w:tcPr>
            <w:cnfStyle w:val="001000000000" w:firstRow="0" w:lastRow="0" w:firstColumn="1" w:lastColumn="0" w:oddVBand="0" w:evenVBand="0" w:oddHBand="0" w:evenHBand="0" w:firstRowFirstColumn="0" w:firstRowLastColumn="0" w:lastRowFirstColumn="0" w:lastRowLastColumn="0"/>
            <w:tcW w:w="481" w:type="pct"/>
          </w:tcPr>
          <w:p w14:paraId="4881A073" w14:textId="77777777" w:rsidR="00B15C3B" w:rsidRPr="00B15C3B" w:rsidRDefault="00B15C3B" w:rsidP="00B15C3B">
            <w:pPr>
              <w:spacing w:before="60" w:after="60"/>
              <w:jc w:val="center"/>
              <w:rPr>
                <w:rFonts w:cs="Corbel"/>
                <w:color w:val="000000"/>
                <w:lang w:val="en-US" w:eastAsia="el-GR"/>
              </w:rPr>
            </w:pPr>
            <w:r w:rsidRPr="00B15C3B">
              <w:rPr>
                <w:rFonts w:cs="Corbel"/>
                <w:color w:val="000000"/>
                <w:lang w:val="en-US" w:eastAsia="el-GR"/>
              </w:rPr>
              <w:t>0</w:t>
            </w:r>
          </w:p>
        </w:tc>
        <w:tc>
          <w:tcPr>
            <w:tcW w:w="1145" w:type="pct"/>
          </w:tcPr>
          <w:p w14:paraId="2FF52C7A"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Συνάφεια ταμείου</w:t>
            </w:r>
          </w:p>
        </w:tc>
        <w:tc>
          <w:tcPr>
            <w:tcW w:w="3374" w:type="pct"/>
          </w:tcPr>
          <w:p w14:paraId="6BB80FD8"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 xml:space="preserve">ΕΤΠΑ, ΤΣ </w:t>
            </w:r>
          </w:p>
        </w:tc>
      </w:tr>
      <w:tr w:rsidR="00B15C3B" w:rsidRPr="00B15C3B" w14:paraId="34D46209"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5EB67F06"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1</w:t>
            </w:r>
          </w:p>
        </w:tc>
        <w:tc>
          <w:tcPr>
            <w:tcW w:w="1145" w:type="pct"/>
            <w:noWrap/>
            <w:hideMark/>
          </w:tcPr>
          <w:p w14:paraId="1A33E38C"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b/>
                <w:bCs/>
                <w:color w:val="000000"/>
                <w:lang w:eastAsia="el-GR"/>
              </w:rPr>
            </w:pPr>
            <w:r w:rsidRPr="00B15C3B">
              <w:rPr>
                <w:rFonts w:cs="Corbel"/>
                <w:b/>
                <w:bCs/>
                <w:color w:val="000000"/>
                <w:lang w:eastAsia="el-GR"/>
              </w:rPr>
              <w:t>Κωδικός δείκτη</w:t>
            </w:r>
          </w:p>
        </w:tc>
        <w:tc>
          <w:tcPr>
            <w:tcW w:w="3374" w:type="pct"/>
            <w:noWrap/>
            <w:hideMark/>
          </w:tcPr>
          <w:p w14:paraId="53AD2795"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b/>
                <w:bCs/>
                <w:color w:val="000000"/>
                <w:lang w:val="en-US" w:eastAsia="el-GR"/>
              </w:rPr>
            </w:pPr>
            <w:r w:rsidRPr="00B15C3B">
              <w:rPr>
                <w:rFonts w:cs="Corbel"/>
                <w:b/>
                <w:bCs/>
                <w:color w:val="000000"/>
                <w:lang w:eastAsia="el-GR"/>
              </w:rPr>
              <w:t>RC</w:t>
            </w:r>
            <w:r w:rsidRPr="00B15C3B">
              <w:rPr>
                <w:rFonts w:cs="Corbel"/>
                <w:b/>
                <w:bCs/>
                <w:color w:val="000000"/>
                <w:lang w:val="en-US" w:eastAsia="el-GR"/>
              </w:rPr>
              <w:t>O</w:t>
            </w:r>
            <w:r w:rsidRPr="00B15C3B">
              <w:rPr>
                <w:rFonts w:cs="Corbel"/>
                <w:b/>
                <w:bCs/>
                <w:color w:val="000000"/>
                <w:lang w:eastAsia="el-GR"/>
              </w:rPr>
              <w:t>26</w:t>
            </w:r>
          </w:p>
        </w:tc>
      </w:tr>
      <w:tr w:rsidR="00B15C3B" w:rsidRPr="00B15C3B" w14:paraId="2E8284E4"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52C1C41E"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2</w:t>
            </w:r>
          </w:p>
        </w:tc>
        <w:tc>
          <w:tcPr>
            <w:tcW w:w="1145" w:type="pct"/>
            <w:noWrap/>
            <w:hideMark/>
          </w:tcPr>
          <w:p w14:paraId="6E8D8C5C"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b/>
                <w:bCs/>
                <w:color w:val="000000"/>
                <w:lang w:eastAsia="el-GR"/>
              </w:rPr>
            </w:pPr>
            <w:r w:rsidRPr="00B15C3B">
              <w:rPr>
                <w:rFonts w:cs="Corbel"/>
                <w:b/>
                <w:bCs/>
                <w:color w:val="000000"/>
                <w:lang w:eastAsia="el-GR"/>
              </w:rPr>
              <w:t>Ονομασία δείκτη</w:t>
            </w:r>
          </w:p>
        </w:tc>
        <w:tc>
          <w:tcPr>
            <w:tcW w:w="3374" w:type="pct"/>
            <w:noWrap/>
            <w:hideMark/>
          </w:tcPr>
          <w:p w14:paraId="474EA0FA"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b/>
                <w:bCs/>
                <w:color w:val="000000"/>
                <w:lang w:eastAsia="el-GR"/>
              </w:rPr>
              <w:t>Πράσινες υποδομές που κατασκευάστηκαν ή αναβαθμίστηκαν για την προσαρμογή στην κλιματική αλλαγή*</w:t>
            </w:r>
          </w:p>
        </w:tc>
      </w:tr>
      <w:tr w:rsidR="00B15C3B" w:rsidRPr="00B15C3B" w14:paraId="53696D4C" w14:textId="77777777" w:rsidTr="00B15C3B">
        <w:tc>
          <w:tcPr>
            <w:cnfStyle w:val="001000000000" w:firstRow="0" w:lastRow="0" w:firstColumn="1" w:lastColumn="0" w:oddVBand="0" w:evenVBand="0" w:oddHBand="0" w:evenHBand="0" w:firstRowFirstColumn="0" w:firstRowLastColumn="0" w:lastRowFirstColumn="0" w:lastRowLastColumn="0"/>
            <w:tcW w:w="481" w:type="pct"/>
            <w:noWrap/>
          </w:tcPr>
          <w:p w14:paraId="6030F226" w14:textId="77777777" w:rsidR="00B15C3B" w:rsidRPr="00B15C3B" w:rsidRDefault="00B15C3B" w:rsidP="00B15C3B">
            <w:pPr>
              <w:spacing w:before="60" w:after="60"/>
              <w:jc w:val="center"/>
              <w:rPr>
                <w:rFonts w:cs="Corbel"/>
                <w:color w:val="000000"/>
                <w:lang w:val="en-US" w:eastAsia="el-GR"/>
              </w:rPr>
            </w:pPr>
            <w:r w:rsidRPr="00B15C3B">
              <w:rPr>
                <w:rFonts w:cs="Corbel"/>
                <w:color w:val="000000"/>
                <w:lang w:eastAsia="el-GR"/>
              </w:rPr>
              <w:t>2</w:t>
            </w:r>
            <w:r w:rsidRPr="00B15C3B">
              <w:rPr>
                <w:rFonts w:cs="Corbel"/>
                <w:color w:val="000000"/>
                <w:lang w:val="en-US" w:eastAsia="el-GR"/>
              </w:rPr>
              <w:t>b</w:t>
            </w:r>
          </w:p>
        </w:tc>
        <w:tc>
          <w:tcPr>
            <w:tcW w:w="1145" w:type="pct"/>
            <w:noWrap/>
          </w:tcPr>
          <w:p w14:paraId="50C6750B"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Κωδικός δείκτη και σύντομο όνομα (όνομα ανοιχτών δεδομένων)</w:t>
            </w:r>
          </w:p>
        </w:tc>
        <w:tc>
          <w:tcPr>
            <w:tcW w:w="3374" w:type="pct"/>
            <w:noWrap/>
          </w:tcPr>
          <w:p w14:paraId="68850DA5" w14:textId="77777777" w:rsidR="00B15C3B" w:rsidRPr="00B15C3B" w:rsidDel="005C100D"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val="en-US" w:eastAsia="el-GR"/>
              </w:rPr>
            </w:pPr>
            <w:r w:rsidRPr="00B15C3B">
              <w:rPr>
                <w:rFonts w:cs="Corbel"/>
                <w:color w:val="000000"/>
                <w:lang w:val="en-US" w:eastAsia="el-GR"/>
              </w:rPr>
              <w:t>RCO26 Climate: Green infrastructure adapted to climate change</w:t>
            </w:r>
          </w:p>
        </w:tc>
      </w:tr>
      <w:tr w:rsidR="00B15C3B" w:rsidRPr="00B15C3B" w14:paraId="10DD9420"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0E92EE34"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3</w:t>
            </w:r>
          </w:p>
        </w:tc>
        <w:tc>
          <w:tcPr>
            <w:tcW w:w="1145" w:type="pct"/>
            <w:noWrap/>
            <w:hideMark/>
          </w:tcPr>
          <w:p w14:paraId="35C90274"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Μονάδα μέτρησης</w:t>
            </w:r>
          </w:p>
        </w:tc>
        <w:tc>
          <w:tcPr>
            <w:tcW w:w="3374" w:type="pct"/>
            <w:noWrap/>
            <w:hideMark/>
          </w:tcPr>
          <w:p w14:paraId="7B6FF381"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Εκτάρια</w:t>
            </w:r>
          </w:p>
        </w:tc>
      </w:tr>
      <w:tr w:rsidR="00B15C3B" w:rsidRPr="00B15C3B" w14:paraId="765EB2AA"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1F8857A2"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4</w:t>
            </w:r>
          </w:p>
        </w:tc>
        <w:tc>
          <w:tcPr>
            <w:tcW w:w="1145" w:type="pct"/>
            <w:noWrap/>
            <w:hideMark/>
          </w:tcPr>
          <w:p w14:paraId="4C96AAAE"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Τύπος δείκτη</w:t>
            </w:r>
          </w:p>
        </w:tc>
        <w:tc>
          <w:tcPr>
            <w:tcW w:w="3374" w:type="pct"/>
            <w:noWrap/>
            <w:hideMark/>
          </w:tcPr>
          <w:p w14:paraId="4B1EC454"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Εκροών</w:t>
            </w:r>
          </w:p>
        </w:tc>
      </w:tr>
      <w:tr w:rsidR="00B15C3B" w:rsidRPr="00B15C3B" w14:paraId="78E0335B"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29F91008"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5</w:t>
            </w:r>
          </w:p>
        </w:tc>
        <w:tc>
          <w:tcPr>
            <w:tcW w:w="1145" w:type="pct"/>
            <w:noWrap/>
            <w:hideMark/>
          </w:tcPr>
          <w:p w14:paraId="52E8C884"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Τιμή Βάσης</w:t>
            </w:r>
          </w:p>
        </w:tc>
        <w:tc>
          <w:tcPr>
            <w:tcW w:w="3374" w:type="pct"/>
            <w:noWrap/>
            <w:hideMark/>
          </w:tcPr>
          <w:p w14:paraId="47613FFA"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0</w:t>
            </w:r>
          </w:p>
        </w:tc>
      </w:tr>
      <w:tr w:rsidR="00B15C3B" w:rsidRPr="00B15C3B" w14:paraId="67D0F0F9"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4C1F2C95"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6</w:t>
            </w:r>
          </w:p>
        </w:tc>
        <w:tc>
          <w:tcPr>
            <w:tcW w:w="1145" w:type="pct"/>
            <w:noWrap/>
            <w:hideMark/>
          </w:tcPr>
          <w:p w14:paraId="62FE3A27"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FF0000"/>
                <w:lang w:eastAsia="el-GR"/>
              </w:rPr>
            </w:pPr>
            <w:r w:rsidRPr="00B15C3B">
              <w:rPr>
                <w:rFonts w:cs="Corbel"/>
                <w:lang w:eastAsia="el-GR"/>
              </w:rPr>
              <w:t>Ορόσημο 2024</w:t>
            </w:r>
          </w:p>
        </w:tc>
        <w:tc>
          <w:tcPr>
            <w:tcW w:w="3374" w:type="pct"/>
            <w:noWrap/>
            <w:hideMark/>
          </w:tcPr>
          <w:p w14:paraId="4E09C4D5"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&gt;=0</w:t>
            </w:r>
          </w:p>
        </w:tc>
      </w:tr>
      <w:tr w:rsidR="00B15C3B" w:rsidRPr="00B15C3B" w14:paraId="2018C2D4"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55B9793E"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7</w:t>
            </w:r>
          </w:p>
        </w:tc>
        <w:tc>
          <w:tcPr>
            <w:tcW w:w="1145" w:type="pct"/>
            <w:noWrap/>
            <w:hideMark/>
          </w:tcPr>
          <w:p w14:paraId="476D11DF"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Τιμή Στόχος 2029</w:t>
            </w:r>
          </w:p>
        </w:tc>
        <w:tc>
          <w:tcPr>
            <w:tcW w:w="3374" w:type="pct"/>
            <w:noWrap/>
            <w:hideMark/>
          </w:tcPr>
          <w:p w14:paraId="3E536364"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&gt;0</w:t>
            </w:r>
          </w:p>
        </w:tc>
      </w:tr>
      <w:tr w:rsidR="00B15C3B" w:rsidRPr="00B15C3B" w14:paraId="7F4EE2C0"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70F70E23"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8</w:t>
            </w:r>
          </w:p>
        </w:tc>
        <w:tc>
          <w:tcPr>
            <w:tcW w:w="1145" w:type="pct"/>
            <w:noWrap/>
            <w:hideMark/>
          </w:tcPr>
          <w:p w14:paraId="50E64DB9"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Στόχος πολιτικής</w:t>
            </w:r>
          </w:p>
        </w:tc>
        <w:tc>
          <w:tcPr>
            <w:tcW w:w="3374" w:type="pct"/>
            <w:noWrap/>
            <w:hideMark/>
          </w:tcPr>
          <w:p w14:paraId="2E409989"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t>Χρήση σε όλους τους Στόχους Πολιτικής, κατά περίπτωση</w:t>
            </w:r>
          </w:p>
        </w:tc>
      </w:tr>
      <w:tr w:rsidR="00B15C3B" w:rsidRPr="00B15C3B" w14:paraId="284BE12A"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105DD29E"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9</w:t>
            </w:r>
          </w:p>
        </w:tc>
        <w:tc>
          <w:tcPr>
            <w:tcW w:w="1145" w:type="pct"/>
            <w:noWrap/>
            <w:hideMark/>
          </w:tcPr>
          <w:p w14:paraId="7A65BC67"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Ειδικός στόχος</w:t>
            </w:r>
          </w:p>
        </w:tc>
        <w:tc>
          <w:tcPr>
            <w:tcW w:w="3374" w:type="pct"/>
            <w:noWrap/>
            <w:hideMark/>
          </w:tcPr>
          <w:p w14:paraId="2BF9C6C9"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t>Χρήση σε όλους τους Ειδικούς Στόχους, κατά περίπτωση</w:t>
            </w:r>
          </w:p>
        </w:tc>
      </w:tr>
      <w:tr w:rsidR="00B15C3B" w:rsidRPr="00B15C3B" w14:paraId="6A44F08C"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0209E16D"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10</w:t>
            </w:r>
          </w:p>
        </w:tc>
        <w:tc>
          <w:tcPr>
            <w:tcW w:w="1145" w:type="pct"/>
            <w:noWrap/>
            <w:hideMark/>
          </w:tcPr>
          <w:p w14:paraId="5019CBEB"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Βασικές έννοιες και ορισμοί</w:t>
            </w:r>
          </w:p>
        </w:tc>
        <w:tc>
          <w:tcPr>
            <w:tcW w:w="3374" w:type="pct"/>
          </w:tcPr>
          <w:p w14:paraId="08B0CE7E"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 xml:space="preserve">Έκταση της νέας ή αναβαθμισμένης σημαντικά πράσινης υποδομής για την ενίσχυση της προσαρμογής στην κλιματική αλλαγή, για παράδειγμα με την ενίσχυση της προστασίας από πλημμύρες και την πρόληψη της διάβρωσης του εδάφους. </w:t>
            </w:r>
          </w:p>
          <w:p w14:paraId="01EE7345"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 xml:space="preserve">Η πράσινη υποδομή αναφέρεται συνήθως σε δέντρα, γρασίδι, φράχτες, πάρκα, δάση, κτλ. Ο δείκτης καλύπτει επίσης την μπλε υποδομή, όπως τα υδάτινα στοιχεία σαν τα ποτάμια, τα κανάλια, τις λίμνες, τους υγροτόπους, τις </w:t>
            </w:r>
            <w:proofErr w:type="spellStart"/>
            <w:r w:rsidRPr="00B15C3B">
              <w:rPr>
                <w:rFonts w:cs="Corbel"/>
                <w:color w:val="000000"/>
                <w:lang w:eastAsia="el-GR"/>
              </w:rPr>
              <w:t>πλημμυρικές</w:t>
            </w:r>
            <w:proofErr w:type="spellEnd"/>
            <w:r w:rsidRPr="00B15C3B">
              <w:rPr>
                <w:rFonts w:cs="Corbel"/>
                <w:color w:val="000000"/>
                <w:lang w:eastAsia="el-GR"/>
              </w:rPr>
              <w:t xml:space="preserve"> εκτάσεις, τις εγκαταστάσεις επεξεργασίας νερού </w:t>
            </w:r>
            <w:proofErr w:type="spellStart"/>
            <w:r w:rsidRPr="00B15C3B">
              <w:rPr>
                <w:rFonts w:cs="Corbel"/>
                <w:color w:val="000000"/>
                <w:lang w:eastAsia="el-GR"/>
              </w:rPr>
              <w:t>κτλ</w:t>
            </w:r>
            <w:proofErr w:type="spellEnd"/>
            <w:r w:rsidRPr="00B15C3B">
              <w:rPr>
                <w:rFonts w:cs="Corbel"/>
                <w:color w:val="000000"/>
                <w:lang w:eastAsia="el-GR"/>
              </w:rPr>
              <w:t xml:space="preserve"> (βλ. </w:t>
            </w:r>
            <w:r w:rsidRPr="00B15C3B">
              <w:rPr>
                <w:rFonts w:cs="Corbel"/>
                <w:color w:val="000000"/>
                <w:lang w:val="en-US" w:eastAsia="el-GR"/>
              </w:rPr>
              <w:t>Naumann</w:t>
            </w:r>
            <w:r w:rsidRPr="00B15C3B">
              <w:rPr>
                <w:rFonts w:cs="Corbel"/>
                <w:color w:val="000000"/>
                <w:lang w:eastAsia="el-GR"/>
              </w:rPr>
              <w:t xml:space="preserve"> </w:t>
            </w:r>
            <w:r w:rsidRPr="00B15C3B">
              <w:rPr>
                <w:rFonts w:cs="Corbel"/>
                <w:color w:val="000000"/>
                <w:lang w:val="en-US" w:eastAsia="el-GR"/>
              </w:rPr>
              <w:t>et</w:t>
            </w:r>
            <w:r w:rsidRPr="00B15C3B">
              <w:rPr>
                <w:rFonts w:cs="Corbel"/>
                <w:color w:val="000000"/>
                <w:lang w:eastAsia="el-GR"/>
              </w:rPr>
              <w:t xml:space="preserve"> </w:t>
            </w:r>
            <w:r w:rsidRPr="00B15C3B">
              <w:rPr>
                <w:rFonts w:cs="Corbel"/>
                <w:color w:val="000000"/>
                <w:lang w:val="en-US" w:eastAsia="el-GR"/>
              </w:rPr>
              <w:t>all</w:t>
            </w:r>
            <w:r w:rsidRPr="00B15C3B">
              <w:rPr>
                <w:rFonts w:cs="Corbel"/>
                <w:color w:val="000000"/>
                <w:lang w:eastAsia="el-GR"/>
              </w:rPr>
              <w:t xml:space="preserve"> (</w:t>
            </w:r>
            <w:proofErr w:type="gramStart"/>
            <w:r w:rsidRPr="00B15C3B">
              <w:rPr>
                <w:rFonts w:cs="Corbel"/>
                <w:color w:val="000000"/>
                <w:lang w:eastAsia="el-GR"/>
              </w:rPr>
              <w:t>2011))</w:t>
            </w:r>
            <w:proofErr w:type="gramEnd"/>
            <w:r w:rsidRPr="00B15C3B">
              <w:rPr>
                <w:rFonts w:cs="Corbel"/>
                <w:color w:val="000000"/>
                <w:lang w:eastAsia="el-GR"/>
              </w:rPr>
              <w:t>.</w:t>
            </w:r>
          </w:p>
          <w:p w14:paraId="33C8DA16"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pPr>
            <w:r w:rsidRPr="00B15C3B">
              <w:t xml:space="preserve">Σύμφωνα με την Επιτροπή (COM/2013/0249 </w:t>
            </w:r>
            <w:proofErr w:type="spellStart"/>
            <w:r w:rsidRPr="00B15C3B">
              <w:t>final</w:t>
            </w:r>
            <w:proofErr w:type="spellEnd"/>
            <w:r w:rsidRPr="00B15C3B">
              <w:t>), ως πράσινη υποδομή ορίζεται ένα:</w:t>
            </w:r>
          </w:p>
          <w:p w14:paraId="3B63446D"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pPr>
            <w:r w:rsidRPr="00B15C3B">
              <w:t xml:space="preserve">«Στρατηγικά προγραμματισμένο δίκτυο φυσικών και </w:t>
            </w:r>
            <w:proofErr w:type="spellStart"/>
            <w:r w:rsidRPr="00B15C3B">
              <w:t>ημιφυσικών</w:t>
            </w:r>
            <w:proofErr w:type="spellEnd"/>
            <w:r w:rsidRPr="00B15C3B">
              <w:t xml:space="preserve"> περιοχών, καθώς και άλλων χαρακτηριστικών στοιχείων του περιβάλλοντος, ο σχεδιασμός και η διαχείριση του οποίου αποσκοπούν στην παροχή ευρέος φάσματος </w:t>
            </w:r>
            <w:proofErr w:type="spellStart"/>
            <w:r w:rsidRPr="00B15C3B">
              <w:t>οικοσυστημικών</w:t>
            </w:r>
            <w:proofErr w:type="spellEnd"/>
            <w:r w:rsidRPr="00B15C3B">
              <w:t xml:space="preserve"> υπηρεσιών. Το εν λόγω δίκτυο περιλαμβάνει χώρους πρασίνου (ή γαλάζιου, προκειμένου για υδάτινα οικοσυστήματα) και άλλα φυσικά χαρακτηριστικά στοιχεία των χερσαίων (συμπεριλαμβανομένων των παράκτιων) και των θαλάσσιων περιοχών. Στην ξηρά συναντάται πράσινη υποδομή  σε αγροτικό και αστικό περιβάλλον».</w:t>
            </w:r>
          </w:p>
        </w:tc>
      </w:tr>
      <w:tr w:rsidR="00B15C3B" w:rsidRPr="00B15C3B" w14:paraId="480746B6"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71CD1AB9"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11</w:t>
            </w:r>
          </w:p>
        </w:tc>
        <w:tc>
          <w:tcPr>
            <w:tcW w:w="1145" w:type="pct"/>
            <w:noWrap/>
            <w:hideMark/>
          </w:tcPr>
          <w:p w14:paraId="648732AD"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Πηγή δεδομένων</w:t>
            </w:r>
          </w:p>
        </w:tc>
        <w:tc>
          <w:tcPr>
            <w:tcW w:w="3374" w:type="pct"/>
            <w:noWrap/>
            <w:hideMark/>
          </w:tcPr>
          <w:p w14:paraId="31B00046"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Υποστηριζόμενα έργα</w:t>
            </w:r>
          </w:p>
        </w:tc>
      </w:tr>
      <w:tr w:rsidR="00B15C3B" w:rsidRPr="00B15C3B" w14:paraId="2CB5647C"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5A308051"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12</w:t>
            </w:r>
          </w:p>
        </w:tc>
        <w:tc>
          <w:tcPr>
            <w:tcW w:w="1145" w:type="pct"/>
            <w:noWrap/>
            <w:hideMark/>
          </w:tcPr>
          <w:p w14:paraId="11B79937"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FF0000"/>
                <w:lang w:eastAsia="el-GR"/>
              </w:rPr>
            </w:pPr>
            <w:r w:rsidRPr="00B15C3B">
              <w:rPr>
                <w:rFonts w:cs="Corbel"/>
                <w:lang w:eastAsia="el-GR"/>
              </w:rPr>
              <w:t>Χρόνος μέτρησης</w:t>
            </w:r>
          </w:p>
        </w:tc>
        <w:tc>
          <w:tcPr>
            <w:tcW w:w="3374" w:type="pct"/>
            <w:hideMark/>
          </w:tcPr>
          <w:p w14:paraId="4B7D9B23"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Με την ολοκλήρωση των εκροών του υποστηριζόμενου έργου</w:t>
            </w:r>
          </w:p>
        </w:tc>
      </w:tr>
      <w:tr w:rsidR="00B15C3B" w:rsidRPr="00B15C3B" w14:paraId="16157D80"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45DCA98F"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13</w:t>
            </w:r>
          </w:p>
        </w:tc>
        <w:tc>
          <w:tcPr>
            <w:tcW w:w="1145" w:type="pct"/>
            <w:noWrap/>
            <w:hideMark/>
          </w:tcPr>
          <w:p w14:paraId="3D61BBD9"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Άθροιση</w:t>
            </w:r>
          </w:p>
        </w:tc>
        <w:tc>
          <w:tcPr>
            <w:tcW w:w="3374" w:type="pct"/>
            <w:noWrap/>
            <w:hideMark/>
          </w:tcPr>
          <w:p w14:paraId="6970590F"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p>
        </w:tc>
      </w:tr>
      <w:tr w:rsidR="00B15C3B" w:rsidRPr="00B15C3B" w14:paraId="359475AC"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517C644D"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14</w:t>
            </w:r>
          </w:p>
        </w:tc>
        <w:tc>
          <w:tcPr>
            <w:tcW w:w="1145" w:type="pct"/>
            <w:noWrap/>
            <w:hideMark/>
          </w:tcPr>
          <w:p w14:paraId="2C20BEC8"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Αναφορές</w:t>
            </w:r>
          </w:p>
        </w:tc>
        <w:tc>
          <w:tcPr>
            <w:tcW w:w="3374" w:type="pct"/>
            <w:hideMark/>
          </w:tcPr>
          <w:p w14:paraId="7F43CC34"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i/>
                <w:iCs/>
                <w:color w:val="000000"/>
                <w:lang w:eastAsia="el-GR"/>
              </w:rPr>
            </w:pPr>
            <w:r w:rsidRPr="00B15C3B">
              <w:rPr>
                <w:rFonts w:cs="Corbel"/>
                <w:i/>
                <w:iCs/>
                <w:color w:val="000000"/>
                <w:lang w:eastAsia="el-GR"/>
              </w:rPr>
              <w:t>Κανόνας 1: Αναφορές ανά ειδικό στόχο</w:t>
            </w:r>
          </w:p>
          <w:p w14:paraId="66FDE704"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i/>
                <w:iCs/>
                <w:color w:val="000000"/>
                <w:lang w:eastAsia="el-GR"/>
              </w:rPr>
            </w:pPr>
            <w:r w:rsidRPr="00B15C3B">
              <w:rPr>
                <w:rFonts w:cs="Corbel"/>
                <w:iCs/>
                <w:color w:val="000000"/>
                <w:lang w:eastAsia="el-GR"/>
              </w:rPr>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5).</w:t>
            </w:r>
          </w:p>
        </w:tc>
      </w:tr>
      <w:tr w:rsidR="00B15C3B" w:rsidRPr="00B15C3B" w14:paraId="2BCFCE91"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1B730C92"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lastRenderedPageBreak/>
              <w:t>15</w:t>
            </w:r>
          </w:p>
        </w:tc>
        <w:tc>
          <w:tcPr>
            <w:tcW w:w="1145" w:type="pct"/>
            <w:noWrap/>
            <w:hideMark/>
          </w:tcPr>
          <w:p w14:paraId="27B602A6"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Παραπομπές</w:t>
            </w:r>
          </w:p>
        </w:tc>
        <w:tc>
          <w:tcPr>
            <w:tcW w:w="3374" w:type="pct"/>
          </w:tcPr>
          <w:p w14:paraId="0C906A55"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val="en-US" w:eastAsia="el-GR"/>
              </w:rPr>
              <w:t>Neumann</w:t>
            </w:r>
            <w:r w:rsidRPr="00B15C3B">
              <w:rPr>
                <w:rFonts w:cs="Corbel"/>
                <w:color w:val="000000"/>
                <w:lang w:eastAsia="el-GR"/>
              </w:rPr>
              <w:t xml:space="preserve"> </w:t>
            </w:r>
            <w:r w:rsidRPr="00B15C3B">
              <w:rPr>
                <w:rFonts w:cs="Corbel"/>
                <w:color w:val="000000"/>
                <w:lang w:val="en-US" w:eastAsia="el-GR"/>
              </w:rPr>
              <w:t>et</w:t>
            </w:r>
            <w:r w:rsidRPr="00B15C3B">
              <w:rPr>
                <w:rFonts w:cs="Corbel"/>
                <w:color w:val="000000"/>
                <w:lang w:eastAsia="el-GR"/>
              </w:rPr>
              <w:t xml:space="preserve"> </w:t>
            </w:r>
            <w:r w:rsidRPr="00B15C3B">
              <w:rPr>
                <w:rFonts w:cs="Corbel"/>
                <w:color w:val="000000"/>
                <w:lang w:val="en-US" w:eastAsia="el-GR"/>
              </w:rPr>
              <w:t>al</w:t>
            </w:r>
            <w:r w:rsidRPr="00B15C3B">
              <w:rPr>
                <w:rFonts w:cs="Corbel"/>
                <w:color w:val="000000"/>
                <w:lang w:eastAsia="el-GR"/>
              </w:rPr>
              <w:t xml:space="preserve">. (2011) - </w:t>
            </w:r>
            <w:r w:rsidRPr="00B15C3B">
              <w:rPr>
                <w:rFonts w:cs="Corbel"/>
                <w:i/>
                <w:iCs/>
                <w:color w:val="000000"/>
                <w:lang w:val="en-US" w:eastAsia="el-GR"/>
              </w:rPr>
              <w:t>Assessment</w:t>
            </w:r>
            <w:r w:rsidRPr="00B15C3B">
              <w:rPr>
                <w:rFonts w:cs="Corbel"/>
                <w:i/>
                <w:iCs/>
                <w:color w:val="000000"/>
                <w:lang w:eastAsia="el-GR"/>
              </w:rPr>
              <w:t xml:space="preserve"> </w:t>
            </w:r>
            <w:r w:rsidRPr="00B15C3B">
              <w:rPr>
                <w:rFonts w:cs="Corbel"/>
                <w:i/>
                <w:iCs/>
                <w:color w:val="000000"/>
                <w:lang w:val="en-US" w:eastAsia="el-GR"/>
              </w:rPr>
              <w:t>of</w:t>
            </w:r>
            <w:r w:rsidRPr="00B15C3B">
              <w:rPr>
                <w:rFonts w:cs="Corbel"/>
                <w:i/>
                <w:iCs/>
                <w:color w:val="000000"/>
                <w:lang w:eastAsia="el-GR"/>
              </w:rPr>
              <w:t xml:space="preserve"> </w:t>
            </w:r>
            <w:r w:rsidRPr="00B15C3B">
              <w:rPr>
                <w:rFonts w:cs="Corbel"/>
                <w:i/>
                <w:iCs/>
                <w:color w:val="000000"/>
                <w:lang w:val="en-US" w:eastAsia="el-GR"/>
              </w:rPr>
              <w:t>the</w:t>
            </w:r>
            <w:r w:rsidRPr="00B15C3B">
              <w:rPr>
                <w:rFonts w:cs="Corbel"/>
                <w:i/>
                <w:iCs/>
                <w:color w:val="000000"/>
                <w:lang w:eastAsia="el-GR"/>
              </w:rPr>
              <w:t xml:space="preserve"> </w:t>
            </w:r>
            <w:r w:rsidRPr="00B15C3B">
              <w:rPr>
                <w:rFonts w:cs="Corbel"/>
                <w:i/>
                <w:iCs/>
                <w:color w:val="000000"/>
                <w:lang w:val="en-US" w:eastAsia="el-GR"/>
              </w:rPr>
              <w:t>potential</w:t>
            </w:r>
            <w:r w:rsidRPr="00B15C3B">
              <w:rPr>
                <w:rFonts w:cs="Corbel"/>
                <w:i/>
                <w:iCs/>
                <w:color w:val="000000"/>
                <w:lang w:eastAsia="el-GR"/>
              </w:rPr>
              <w:t xml:space="preserve"> </w:t>
            </w:r>
            <w:r w:rsidRPr="00B15C3B">
              <w:rPr>
                <w:rFonts w:cs="Corbel"/>
                <w:i/>
                <w:iCs/>
                <w:color w:val="000000"/>
                <w:lang w:val="en-US" w:eastAsia="el-GR"/>
              </w:rPr>
              <w:t>of</w:t>
            </w:r>
            <w:r w:rsidRPr="00B15C3B">
              <w:rPr>
                <w:rFonts w:cs="Corbel"/>
                <w:i/>
                <w:iCs/>
                <w:color w:val="000000"/>
                <w:lang w:eastAsia="el-GR"/>
              </w:rPr>
              <w:t xml:space="preserve"> </w:t>
            </w:r>
            <w:r w:rsidRPr="00B15C3B">
              <w:rPr>
                <w:rFonts w:cs="Corbel"/>
                <w:i/>
                <w:iCs/>
                <w:color w:val="000000"/>
                <w:lang w:val="en-US" w:eastAsia="el-GR"/>
              </w:rPr>
              <w:t>ecosystem</w:t>
            </w:r>
            <w:r w:rsidRPr="00B15C3B">
              <w:rPr>
                <w:rFonts w:cs="Corbel"/>
                <w:i/>
                <w:iCs/>
                <w:color w:val="000000"/>
                <w:lang w:eastAsia="el-GR"/>
              </w:rPr>
              <w:t>-</w:t>
            </w:r>
            <w:r w:rsidRPr="00B15C3B">
              <w:rPr>
                <w:rFonts w:cs="Corbel"/>
                <w:i/>
                <w:iCs/>
                <w:color w:val="000000"/>
                <w:lang w:val="en-US" w:eastAsia="el-GR"/>
              </w:rPr>
              <w:t>based</w:t>
            </w:r>
            <w:r w:rsidRPr="00B15C3B">
              <w:rPr>
                <w:rFonts w:cs="Corbel"/>
                <w:i/>
                <w:iCs/>
                <w:color w:val="000000"/>
                <w:lang w:eastAsia="el-GR"/>
              </w:rPr>
              <w:t xml:space="preserve"> </w:t>
            </w:r>
            <w:r w:rsidRPr="00B15C3B">
              <w:rPr>
                <w:rFonts w:cs="Corbel"/>
                <w:i/>
                <w:iCs/>
                <w:color w:val="000000"/>
                <w:lang w:val="en-US" w:eastAsia="el-GR"/>
              </w:rPr>
              <w:t>approaches</w:t>
            </w:r>
            <w:r w:rsidRPr="00B15C3B">
              <w:rPr>
                <w:rFonts w:cs="Corbel"/>
                <w:i/>
                <w:iCs/>
                <w:color w:val="000000"/>
                <w:lang w:eastAsia="el-GR"/>
              </w:rPr>
              <w:t xml:space="preserve"> </w:t>
            </w:r>
            <w:r w:rsidRPr="00B15C3B">
              <w:rPr>
                <w:rFonts w:cs="Corbel"/>
                <w:i/>
                <w:iCs/>
                <w:color w:val="000000"/>
                <w:lang w:val="en-US" w:eastAsia="el-GR"/>
              </w:rPr>
              <w:t>to</w:t>
            </w:r>
            <w:r w:rsidRPr="00B15C3B">
              <w:rPr>
                <w:rFonts w:cs="Corbel"/>
                <w:i/>
                <w:iCs/>
                <w:color w:val="000000"/>
                <w:lang w:eastAsia="el-GR"/>
              </w:rPr>
              <w:t xml:space="preserve"> </w:t>
            </w:r>
            <w:r w:rsidRPr="00B15C3B">
              <w:rPr>
                <w:rFonts w:cs="Corbel"/>
                <w:i/>
                <w:iCs/>
                <w:color w:val="000000"/>
                <w:lang w:val="en-US" w:eastAsia="el-GR"/>
              </w:rPr>
              <w:t>climate</w:t>
            </w:r>
            <w:r w:rsidRPr="00B15C3B">
              <w:rPr>
                <w:rFonts w:cs="Corbel"/>
                <w:i/>
                <w:iCs/>
                <w:color w:val="000000"/>
                <w:lang w:eastAsia="el-GR"/>
              </w:rPr>
              <w:t xml:space="preserve"> </w:t>
            </w:r>
            <w:r w:rsidRPr="00B15C3B">
              <w:rPr>
                <w:rFonts w:cs="Corbel"/>
                <w:i/>
                <w:iCs/>
                <w:color w:val="000000"/>
                <w:lang w:val="en-US" w:eastAsia="el-GR"/>
              </w:rPr>
              <w:t>change</w:t>
            </w:r>
            <w:r w:rsidRPr="00B15C3B">
              <w:rPr>
                <w:rFonts w:cs="Corbel"/>
                <w:i/>
                <w:iCs/>
                <w:color w:val="000000"/>
                <w:lang w:eastAsia="el-GR"/>
              </w:rPr>
              <w:t xml:space="preserve"> </w:t>
            </w:r>
            <w:r w:rsidRPr="00B15C3B">
              <w:rPr>
                <w:rFonts w:cs="Corbel"/>
                <w:i/>
                <w:iCs/>
                <w:color w:val="000000"/>
                <w:lang w:val="en-US" w:eastAsia="el-GR"/>
              </w:rPr>
              <w:t>adaptation</w:t>
            </w:r>
            <w:r w:rsidRPr="00B15C3B">
              <w:rPr>
                <w:rFonts w:cs="Corbel"/>
                <w:i/>
                <w:iCs/>
                <w:color w:val="000000"/>
                <w:lang w:eastAsia="el-GR"/>
              </w:rPr>
              <w:t xml:space="preserve"> </w:t>
            </w:r>
            <w:r w:rsidRPr="00B15C3B">
              <w:rPr>
                <w:rFonts w:cs="Corbel"/>
                <w:i/>
                <w:iCs/>
                <w:color w:val="000000"/>
                <w:lang w:val="en-US" w:eastAsia="el-GR"/>
              </w:rPr>
              <w:t>and</w:t>
            </w:r>
            <w:r w:rsidRPr="00B15C3B">
              <w:rPr>
                <w:rFonts w:cs="Corbel"/>
                <w:i/>
                <w:iCs/>
                <w:color w:val="000000"/>
                <w:lang w:eastAsia="el-GR"/>
              </w:rPr>
              <w:t xml:space="preserve"> </w:t>
            </w:r>
            <w:r w:rsidRPr="00B15C3B">
              <w:rPr>
                <w:rFonts w:cs="Corbel"/>
                <w:i/>
                <w:iCs/>
                <w:color w:val="000000"/>
                <w:lang w:val="en-US" w:eastAsia="el-GR"/>
              </w:rPr>
              <w:t>mitigation</w:t>
            </w:r>
            <w:r w:rsidRPr="00B15C3B">
              <w:rPr>
                <w:rFonts w:cs="Corbel"/>
                <w:i/>
                <w:iCs/>
                <w:color w:val="000000"/>
                <w:lang w:eastAsia="el-GR"/>
              </w:rPr>
              <w:t xml:space="preserve"> </w:t>
            </w:r>
            <w:r w:rsidRPr="00B15C3B">
              <w:rPr>
                <w:rFonts w:cs="Corbel"/>
                <w:i/>
                <w:iCs/>
                <w:color w:val="000000"/>
                <w:lang w:val="en-US" w:eastAsia="el-GR"/>
              </w:rPr>
              <w:t>in</w:t>
            </w:r>
            <w:r w:rsidRPr="00B15C3B">
              <w:rPr>
                <w:rFonts w:cs="Corbel"/>
                <w:i/>
                <w:iCs/>
                <w:color w:val="000000"/>
                <w:lang w:eastAsia="el-GR"/>
              </w:rPr>
              <w:t xml:space="preserve"> </w:t>
            </w:r>
            <w:r w:rsidRPr="00B15C3B">
              <w:rPr>
                <w:rFonts w:cs="Corbel"/>
                <w:i/>
                <w:iCs/>
                <w:color w:val="000000"/>
                <w:lang w:val="en-US" w:eastAsia="el-GR"/>
              </w:rPr>
              <w:t>Europe</w:t>
            </w:r>
            <w:r w:rsidRPr="00B15C3B">
              <w:rPr>
                <w:rFonts w:cs="Corbel"/>
                <w:color w:val="000000"/>
                <w:lang w:eastAsia="el-GR"/>
              </w:rPr>
              <w:t>, Μελέτη που χρηματοδοτήθηκε από την Ευρωπαϊκή Επιτροπή, διαθέσιμη στο διαδίκτυο.</w:t>
            </w:r>
          </w:p>
          <w:p w14:paraId="1B4BF20F"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Για τον ορισμό βλέπε:</w:t>
            </w:r>
          </w:p>
          <w:p w14:paraId="4B91DF3F"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hyperlink r:id="rId5" w:history="1">
              <w:r w:rsidRPr="00B15C3B">
                <w:rPr>
                  <w:rFonts w:cs="Corbel"/>
                  <w:color w:val="0000FF"/>
                  <w:u w:val="single"/>
                  <w:lang w:eastAsia="el-GR"/>
                </w:rPr>
                <w:t>https://ec.europa.eu/environment/nature/ecosystems/index_en.htm</w:t>
              </w:r>
            </w:hyperlink>
            <w:r w:rsidRPr="00B15C3B">
              <w:rPr>
                <w:rFonts w:cs="Corbel"/>
                <w:color w:val="000000"/>
                <w:lang w:eastAsia="el-GR"/>
              </w:rPr>
              <w:t xml:space="preserve"> </w:t>
            </w:r>
          </w:p>
          <w:p w14:paraId="362E5DC3"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hyperlink r:id="rId6" w:history="1">
              <w:r w:rsidRPr="00B15C3B">
                <w:rPr>
                  <w:rFonts w:cs="Corbel"/>
                  <w:color w:val="0000FF"/>
                  <w:u w:val="single"/>
                  <w:lang w:eastAsia="el-GR"/>
                </w:rPr>
                <w:t>https://ec.europa.eu/transparency/regdoc/rep/10102/2019/EN/SWD-2019-193-F1-EN-MAIN-PART-1.PDF</w:t>
              </w:r>
            </w:hyperlink>
            <w:r w:rsidRPr="00B15C3B">
              <w:rPr>
                <w:rFonts w:cs="Corbel"/>
                <w:color w:val="000000"/>
                <w:lang w:eastAsia="el-GR"/>
              </w:rPr>
              <w:t xml:space="preserve"> </w:t>
            </w:r>
          </w:p>
        </w:tc>
      </w:tr>
      <w:tr w:rsidR="00B15C3B" w:rsidRPr="00B15C3B" w14:paraId="1B36702E"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5E346A83"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16</w:t>
            </w:r>
          </w:p>
        </w:tc>
        <w:tc>
          <w:tcPr>
            <w:tcW w:w="1145" w:type="pct"/>
            <w:noWrap/>
            <w:hideMark/>
          </w:tcPr>
          <w:p w14:paraId="1BE71BA1"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lang w:eastAsia="el-GR"/>
              </w:rPr>
            </w:pPr>
            <w:proofErr w:type="spellStart"/>
            <w:r w:rsidRPr="00B15C3B">
              <w:rPr>
                <w:rFonts w:cs="Corbel"/>
                <w:lang w:eastAsia="el-GR"/>
              </w:rPr>
              <w:t>Συσχετιζόμενος</w:t>
            </w:r>
            <w:proofErr w:type="spellEnd"/>
            <w:r w:rsidRPr="00B15C3B">
              <w:rPr>
                <w:rFonts w:cs="Corbel"/>
                <w:lang w:eastAsia="el-GR"/>
              </w:rPr>
              <w:t xml:space="preserve"> δείκτης προς χρήση από την Επιτροπή με βάση το Παράρτημα ΙΙ του Καν. ΕΤΠΑ και ΤΣ</w:t>
            </w:r>
          </w:p>
        </w:tc>
        <w:tc>
          <w:tcPr>
            <w:tcW w:w="3374" w:type="pct"/>
            <w:noWrap/>
            <w:hideMark/>
          </w:tcPr>
          <w:p w14:paraId="0C1BA285"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lang w:eastAsia="el-GR"/>
              </w:rPr>
            </w:pPr>
          </w:p>
        </w:tc>
      </w:tr>
      <w:tr w:rsidR="00B15C3B" w:rsidRPr="00B15C3B" w14:paraId="6AC80162" w14:textId="77777777" w:rsidTr="00B15C3B">
        <w:tc>
          <w:tcPr>
            <w:cnfStyle w:val="001000000000" w:firstRow="0" w:lastRow="0" w:firstColumn="1" w:lastColumn="0" w:oddVBand="0" w:evenVBand="0" w:oddHBand="0" w:evenHBand="0" w:firstRowFirstColumn="0" w:firstRowLastColumn="0" w:lastRowFirstColumn="0" w:lastRowLastColumn="0"/>
            <w:tcW w:w="481" w:type="pct"/>
            <w:noWrap/>
            <w:hideMark/>
          </w:tcPr>
          <w:p w14:paraId="127A6077" w14:textId="77777777" w:rsidR="00B15C3B" w:rsidRPr="00B15C3B" w:rsidRDefault="00B15C3B" w:rsidP="00B15C3B">
            <w:pPr>
              <w:spacing w:before="60" w:after="60"/>
              <w:jc w:val="center"/>
              <w:rPr>
                <w:rFonts w:cs="Corbel"/>
                <w:color w:val="000000"/>
                <w:lang w:eastAsia="el-GR"/>
              </w:rPr>
            </w:pPr>
            <w:r w:rsidRPr="00B15C3B">
              <w:rPr>
                <w:rFonts w:cs="Corbel"/>
                <w:color w:val="000000"/>
                <w:lang w:eastAsia="el-GR"/>
              </w:rPr>
              <w:t>17</w:t>
            </w:r>
          </w:p>
        </w:tc>
        <w:tc>
          <w:tcPr>
            <w:tcW w:w="1145" w:type="pct"/>
            <w:noWrap/>
            <w:hideMark/>
          </w:tcPr>
          <w:p w14:paraId="7BD38134"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Σημειώσεις</w:t>
            </w:r>
          </w:p>
        </w:tc>
        <w:tc>
          <w:tcPr>
            <w:tcW w:w="3374" w:type="pct"/>
          </w:tcPr>
          <w:p w14:paraId="7C10AF22"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 xml:space="preserve">Ο συγκεκριμένος δείκτης πρέπει να χρησιμοποιείται σε περιπτώσεις όπου ο κύριος στόχος της νέας ή σημαντικά αναβαθμισμένης πράσινης υποδομής είναι η προσαρμογή στην κλιματική αλλαγή. Οι αναδασώσεις </w:t>
            </w:r>
            <w:proofErr w:type="spellStart"/>
            <w:r w:rsidRPr="00B15C3B">
              <w:rPr>
                <w:rFonts w:cs="Corbel"/>
                <w:color w:val="000000"/>
                <w:lang w:eastAsia="el-GR"/>
              </w:rPr>
              <w:t>προσμετρώνται</w:t>
            </w:r>
            <w:proofErr w:type="spellEnd"/>
            <w:r w:rsidRPr="00B15C3B">
              <w:rPr>
                <w:rFonts w:cs="Corbel"/>
                <w:color w:val="000000"/>
                <w:lang w:eastAsia="el-GR"/>
              </w:rPr>
              <w:t xml:space="preserve"> στον συγκεκριμένο δείκτη και όχι στον </w:t>
            </w:r>
            <w:r w:rsidRPr="00B15C3B">
              <w:rPr>
                <w:rFonts w:cs="Corbel"/>
                <w:color w:val="000000"/>
                <w:lang w:val="en-US" w:eastAsia="el-GR"/>
              </w:rPr>
              <w:t>RC</w:t>
            </w:r>
            <w:r w:rsidRPr="00B15C3B">
              <w:rPr>
                <w:rFonts w:cs="Corbel"/>
                <w:color w:val="000000"/>
                <w:lang w:eastAsia="el-GR"/>
              </w:rPr>
              <w:t>028.</w:t>
            </w:r>
          </w:p>
          <w:p w14:paraId="271BA650" w14:textId="77777777" w:rsidR="00B15C3B" w:rsidRPr="00B15C3B" w:rsidRDefault="00B15C3B" w:rsidP="00B15C3B">
            <w:pPr>
              <w:spacing w:before="60" w:after="60"/>
              <w:jc w:val="both"/>
              <w:cnfStyle w:val="000000000000" w:firstRow="0" w:lastRow="0" w:firstColumn="0" w:lastColumn="0" w:oddVBand="0" w:evenVBand="0" w:oddHBand="0" w:evenHBand="0" w:firstRowFirstColumn="0" w:firstRowLastColumn="0" w:lastRowFirstColumn="0" w:lastRowLastColumn="0"/>
              <w:rPr>
                <w:rFonts w:cs="Corbel"/>
                <w:color w:val="000000"/>
                <w:lang w:eastAsia="el-GR"/>
              </w:rPr>
            </w:pPr>
            <w:r w:rsidRPr="00B15C3B">
              <w:rPr>
                <w:rFonts w:cs="Corbel"/>
                <w:color w:val="000000"/>
                <w:lang w:eastAsia="el-GR"/>
              </w:rPr>
              <w:t>Ο δείκτης καλύπτει πράσινες και  μπλε υποδομές.</w:t>
            </w:r>
          </w:p>
        </w:tc>
      </w:tr>
    </w:tbl>
    <w:p w14:paraId="0D4E679A" w14:textId="77777777" w:rsidR="00BA23E7" w:rsidRDefault="00BA23E7"/>
    <w:sectPr w:rsidR="00BA23E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200247B" w:usb2="00000009" w:usb3="00000000" w:csb0="000001FF" w:csb1="00000000"/>
  </w:font>
  <w:font w:name="Corbel">
    <w:panose1 w:val="020B0503020204020204"/>
    <w:charset w:val="A1"/>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70527"/>
    <w:multiLevelType w:val="multilevel"/>
    <w:tmpl w:val="42EA597E"/>
    <w:lvl w:ilvl="0">
      <w:start w:val="1"/>
      <w:numFmt w:val="decimal"/>
      <w:lvlText w:val="%1."/>
      <w:lvlJc w:val="left"/>
      <w:pPr>
        <w:ind w:left="432" w:hanging="432"/>
      </w:pPr>
      <w:rPr>
        <w:rFonts w:hint="default"/>
        <w:b/>
        <w:bCs/>
      </w:rPr>
    </w:lvl>
    <w:lvl w:ilvl="1">
      <w:start w:val="1"/>
      <w:numFmt w:val="decimal"/>
      <w:lvlText w:val="%1.%2."/>
      <w:lvlJc w:val="left"/>
      <w:pPr>
        <w:ind w:left="576" w:hanging="576"/>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258638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C3B"/>
    <w:rsid w:val="00A77125"/>
    <w:rsid w:val="00B15C3B"/>
    <w:rsid w:val="00BA23E7"/>
    <w:rsid w:val="00C54A70"/>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185FA"/>
  <w15:chartTrackingRefBased/>
  <w15:docId w15:val="{48A81A91-3B73-405A-8C0A-0D6742389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B1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B1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B15C3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B15C3B"/>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B15C3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B15C3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B15C3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B15C3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B15C3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B15C3B"/>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B15C3B"/>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B15C3B"/>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B15C3B"/>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B15C3B"/>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B15C3B"/>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B15C3B"/>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B15C3B"/>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B15C3B"/>
    <w:rPr>
      <w:rFonts w:eastAsiaTheme="majorEastAsia" w:cstheme="majorBidi"/>
      <w:color w:val="272727" w:themeColor="text1" w:themeTint="D8"/>
    </w:rPr>
  </w:style>
  <w:style w:type="paragraph" w:styleId="a3">
    <w:name w:val="Title"/>
    <w:basedOn w:val="a"/>
    <w:next w:val="a"/>
    <w:link w:val="Char"/>
    <w:uiPriority w:val="10"/>
    <w:qFormat/>
    <w:rsid w:val="00B15C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B15C3B"/>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B15C3B"/>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B15C3B"/>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B15C3B"/>
    <w:pPr>
      <w:spacing w:before="160"/>
      <w:jc w:val="center"/>
    </w:pPr>
    <w:rPr>
      <w:i/>
      <w:iCs/>
      <w:color w:val="404040" w:themeColor="text1" w:themeTint="BF"/>
    </w:rPr>
  </w:style>
  <w:style w:type="character" w:customStyle="1" w:styleId="Char1">
    <w:name w:val="Απόσπασμα Char"/>
    <w:basedOn w:val="a0"/>
    <w:link w:val="a5"/>
    <w:uiPriority w:val="29"/>
    <w:rsid w:val="00B15C3B"/>
    <w:rPr>
      <w:i/>
      <w:iCs/>
      <w:color w:val="404040" w:themeColor="text1" w:themeTint="BF"/>
    </w:rPr>
  </w:style>
  <w:style w:type="paragraph" w:styleId="a6">
    <w:name w:val="List Paragraph"/>
    <w:basedOn w:val="a"/>
    <w:uiPriority w:val="34"/>
    <w:qFormat/>
    <w:rsid w:val="00B15C3B"/>
    <w:pPr>
      <w:ind w:left="720"/>
      <w:contextualSpacing/>
    </w:pPr>
  </w:style>
  <w:style w:type="character" w:styleId="a7">
    <w:name w:val="Intense Emphasis"/>
    <w:basedOn w:val="a0"/>
    <w:uiPriority w:val="21"/>
    <w:qFormat/>
    <w:rsid w:val="00B15C3B"/>
    <w:rPr>
      <w:i/>
      <w:iCs/>
      <w:color w:val="0F4761" w:themeColor="accent1" w:themeShade="BF"/>
    </w:rPr>
  </w:style>
  <w:style w:type="paragraph" w:styleId="a8">
    <w:name w:val="Intense Quote"/>
    <w:basedOn w:val="a"/>
    <w:next w:val="a"/>
    <w:link w:val="Char2"/>
    <w:uiPriority w:val="30"/>
    <w:qFormat/>
    <w:rsid w:val="00B1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B15C3B"/>
    <w:rPr>
      <w:i/>
      <w:iCs/>
      <w:color w:val="0F4761" w:themeColor="accent1" w:themeShade="BF"/>
    </w:rPr>
  </w:style>
  <w:style w:type="character" w:styleId="a9">
    <w:name w:val="Intense Reference"/>
    <w:basedOn w:val="a0"/>
    <w:uiPriority w:val="32"/>
    <w:qFormat/>
    <w:rsid w:val="00B15C3B"/>
    <w:rPr>
      <w:b/>
      <w:bCs/>
      <w:smallCaps/>
      <w:color w:val="0F4761" w:themeColor="accent1" w:themeShade="BF"/>
      <w:spacing w:val="5"/>
    </w:rPr>
  </w:style>
  <w:style w:type="table" w:customStyle="1" w:styleId="1-12">
    <w:name w:val="Πίνακας 1 με ανοιχτόχρωμο πλέγμα - Έμφαση 12"/>
    <w:basedOn w:val="a1"/>
    <w:uiPriority w:val="46"/>
    <w:rsid w:val="00B15C3B"/>
    <w:pPr>
      <w:spacing w:after="0" w:line="240" w:lineRule="auto"/>
    </w:pPr>
    <w:rPr>
      <w:rFonts w:ascii="Calibri" w:eastAsia="Times New Roman" w:hAnsi="Calibri" w:cs="Times New Roman"/>
      <w:kern w:val="0"/>
      <w:sz w:val="20"/>
      <w:szCs w:val="20"/>
      <w14:ligatures w14:val="none"/>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c.europa.eu/transparency/regdoc/rep/10102/2019/EN/SWD-2019-193-F1-EN-MAIN-PART-1.PDF" TargetMode="External"/><Relationship Id="rId5" Type="http://schemas.openxmlformats.org/officeDocument/2006/relationships/hyperlink" Target="https://ec.europa.eu/environment/nature/ecosystems/index_en.htm"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503</Words>
  <Characters>2720</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ΣΥΡΟΠΟΥΛΟΣ ΧΑΡΑΛΑΜΠΟΣ</dc:creator>
  <cp:keywords/>
  <dc:description/>
  <cp:lastModifiedBy>ΣΥΡΟΠΟΥΛΟΣ ΧΑΡΑΛΑΜΠΟΣ</cp:lastModifiedBy>
  <cp:revision>1</cp:revision>
  <dcterms:created xsi:type="dcterms:W3CDTF">2025-12-04T13:15:00Z</dcterms:created>
  <dcterms:modified xsi:type="dcterms:W3CDTF">2025-12-04T13:16:00Z</dcterms:modified>
</cp:coreProperties>
</file>